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2794"/>
        <w:gridCol w:w="2923"/>
      </w:tblGrid>
      <w:tr w:rsidR="00270A80" w:rsidTr="00B874C2">
        <w:tc>
          <w:tcPr>
            <w:tcW w:w="2777" w:type="dxa"/>
            <w:vAlign w:val="center"/>
          </w:tcPr>
          <w:p w:rsidR="00270A80" w:rsidRDefault="00270A80" w:rsidP="00E0586F">
            <w:pPr>
              <w:spacing w:line="360" w:lineRule="auto"/>
              <w:ind w:right="6"/>
              <w:rPr>
                <w:rFonts w:cs="Arial"/>
                <w:b/>
                <w:bCs/>
              </w:rPr>
            </w:pPr>
          </w:p>
          <w:p w:rsidR="00270A80" w:rsidRDefault="00270A80" w:rsidP="00E0586F">
            <w:pPr>
              <w:spacing w:line="360" w:lineRule="auto"/>
              <w:ind w:right="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eastAsia="es-ES"/>
              </w:rPr>
              <w:drawing>
                <wp:inline distT="0" distB="0" distL="0" distR="0">
                  <wp:extent cx="1284316" cy="527858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316" cy="52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:rsidR="00270A80" w:rsidRDefault="00270A80" w:rsidP="00E0586F">
            <w:pPr>
              <w:spacing w:line="360" w:lineRule="auto"/>
              <w:ind w:right="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eastAsia="es-ES"/>
              </w:rPr>
              <w:drawing>
                <wp:inline distT="0" distB="0" distL="0" distR="0">
                  <wp:extent cx="1400695" cy="98921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95" cy="98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:rsidR="00270A80" w:rsidRDefault="00270A80" w:rsidP="00E0586F">
            <w:pPr>
              <w:spacing w:line="360" w:lineRule="auto"/>
              <w:ind w:right="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eastAsia="es-ES"/>
              </w:rPr>
              <w:drawing>
                <wp:inline distT="0" distB="0" distL="0" distR="0">
                  <wp:extent cx="1708150" cy="512446"/>
                  <wp:effectExtent l="0" t="0" r="6350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613" cy="51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748" w:rsidRPr="00E0586F" w:rsidRDefault="00186748" w:rsidP="00E0586F">
      <w:pPr>
        <w:spacing w:line="360" w:lineRule="auto"/>
        <w:ind w:right="6"/>
        <w:rPr>
          <w:rFonts w:cs="Arial"/>
          <w:b/>
          <w:bCs/>
        </w:rPr>
      </w:pPr>
    </w:p>
    <w:p w:rsidR="00186748" w:rsidRPr="00E0586F" w:rsidRDefault="00E0586F" w:rsidP="00E0586F">
      <w:pPr>
        <w:spacing w:line="360" w:lineRule="auto"/>
        <w:ind w:right="6"/>
        <w:rPr>
          <w:rFonts w:cs="Arial"/>
          <w:b/>
          <w:bCs/>
        </w:rPr>
      </w:pPr>
      <w:r w:rsidRPr="00E0586F">
        <w:rPr>
          <w:rFonts w:cs="Arial"/>
          <w:b/>
          <w:bCs/>
        </w:rPr>
        <w:t>POSICIONAMENT CONJUNT</w:t>
      </w:r>
      <w:r w:rsidR="00186748" w:rsidRPr="00E0586F">
        <w:rPr>
          <w:rFonts w:cs="Arial"/>
          <w:b/>
          <w:bCs/>
        </w:rPr>
        <w:t xml:space="preserve"> DELS AJUNTAMENTS DE VILASSAR DE</w:t>
      </w:r>
      <w:bookmarkStart w:id="0" w:name="_GoBack"/>
      <w:bookmarkEnd w:id="0"/>
      <w:r w:rsidR="00186748" w:rsidRPr="00E0586F">
        <w:rPr>
          <w:rFonts w:cs="Arial"/>
          <w:b/>
          <w:bCs/>
        </w:rPr>
        <w:t xml:space="preserve"> MAR, CABRERA DE MAR I PREMIÀ DE MAR</w:t>
      </w:r>
    </w:p>
    <w:p w:rsidR="00186748" w:rsidRDefault="00186748" w:rsidP="00076DBE">
      <w:pPr>
        <w:spacing w:after="120"/>
        <w:ind w:right="3"/>
        <w:rPr>
          <w:rFonts w:cs="Arial"/>
          <w:bCs/>
        </w:rPr>
      </w:pPr>
    </w:p>
    <w:p w:rsidR="00186748" w:rsidRDefault="00186748" w:rsidP="00186748">
      <w:pPr>
        <w:spacing w:line="360" w:lineRule="auto"/>
        <w:rPr>
          <w:rFonts w:ascii="Verdana" w:hAnsi="Verdana"/>
          <w:b/>
          <w:sz w:val="20"/>
          <w:szCs w:val="20"/>
          <w:lang w:val="ca-ES"/>
        </w:rPr>
      </w:pPr>
      <w:r w:rsidRPr="00906E2C">
        <w:rPr>
          <w:rFonts w:ascii="Verdana" w:hAnsi="Verdana"/>
          <w:b/>
          <w:sz w:val="20"/>
          <w:szCs w:val="20"/>
          <w:lang w:val="ca-ES"/>
        </w:rPr>
        <w:t>Els ajuntaments de Vilassar de Mar, Cabrera de Mar i Premià de Mar recomanen no anar a la platja ni al passeig Marítim en les sortides dels menors de 14 anys</w:t>
      </w:r>
    </w:p>
    <w:p w:rsidR="00186748" w:rsidRPr="00906E2C" w:rsidRDefault="00186748" w:rsidP="00186748">
      <w:pPr>
        <w:spacing w:line="360" w:lineRule="auto"/>
        <w:rPr>
          <w:rFonts w:ascii="Verdana" w:hAnsi="Verdana"/>
          <w:b/>
          <w:sz w:val="20"/>
          <w:szCs w:val="20"/>
          <w:lang w:val="ca-ES"/>
        </w:rPr>
      </w:pPr>
    </w:p>
    <w:p w:rsidR="00186748" w:rsidRDefault="00186748" w:rsidP="00186748">
      <w:pPr>
        <w:spacing w:line="360" w:lineRule="auto"/>
        <w:rPr>
          <w:rFonts w:ascii="Verdana" w:hAnsi="Verdana"/>
          <w:sz w:val="20"/>
          <w:szCs w:val="20"/>
          <w:lang w:val="ca-ES"/>
        </w:rPr>
      </w:pPr>
      <w:r w:rsidRPr="00906E2C">
        <w:rPr>
          <w:rFonts w:ascii="Verdana" w:hAnsi="Verdana"/>
          <w:sz w:val="20"/>
          <w:szCs w:val="20"/>
          <w:lang w:val="ca-ES"/>
        </w:rPr>
        <w:t>El govern de l’estat ha publicat aquest matí al BOE l’ordre ministerial per la qual regula la sortida dels infants menors de 14 anys</w:t>
      </w:r>
      <w:r>
        <w:rPr>
          <w:rFonts w:ascii="Verdana" w:hAnsi="Verdana"/>
          <w:sz w:val="20"/>
          <w:szCs w:val="20"/>
          <w:lang w:val="ca-ES"/>
        </w:rPr>
        <w:t xml:space="preserve"> (0-13 anys)</w:t>
      </w:r>
      <w:r w:rsidRPr="00906E2C">
        <w:rPr>
          <w:rFonts w:ascii="Verdana" w:hAnsi="Verdana"/>
          <w:sz w:val="20"/>
          <w:szCs w:val="20"/>
          <w:lang w:val="ca-ES"/>
        </w:rPr>
        <w:t>, a partir del diumenge 26 d’abril, complint un</w:t>
      </w:r>
      <w:r>
        <w:rPr>
          <w:rFonts w:ascii="Verdana" w:hAnsi="Verdana"/>
          <w:sz w:val="20"/>
          <w:szCs w:val="20"/>
          <w:lang w:val="ca-ES"/>
        </w:rPr>
        <w:t>a sèrie de</w:t>
      </w:r>
      <w:r w:rsidRPr="00906E2C">
        <w:rPr>
          <w:rFonts w:ascii="Verdana" w:hAnsi="Verdana"/>
          <w:sz w:val="20"/>
          <w:szCs w:val="20"/>
          <w:lang w:val="ca-ES"/>
        </w:rPr>
        <w:t xml:space="preserve"> condicions. El document</w:t>
      </w:r>
      <w:r>
        <w:rPr>
          <w:rFonts w:ascii="Verdana" w:hAnsi="Verdana"/>
          <w:sz w:val="20"/>
          <w:szCs w:val="20"/>
          <w:lang w:val="ca-ES"/>
        </w:rPr>
        <w:t xml:space="preserve"> autoritza a </w:t>
      </w:r>
      <w:r w:rsidRPr="00906E2C">
        <w:rPr>
          <w:rFonts w:ascii="Verdana" w:hAnsi="Verdana"/>
          <w:sz w:val="20"/>
          <w:szCs w:val="20"/>
          <w:lang w:val="ca-ES"/>
        </w:rPr>
        <w:t>circular per qualsevol via o espai d'ús públic, inclosos espais naturals i zones verdes autoritzades, sempre que es respecti el límit màxim d'1 km del domicili</w:t>
      </w:r>
      <w:r>
        <w:rPr>
          <w:rFonts w:ascii="Verdana" w:hAnsi="Verdana"/>
          <w:sz w:val="20"/>
          <w:szCs w:val="20"/>
          <w:lang w:val="ca-ES"/>
        </w:rPr>
        <w:t>. Això vol dir que s’autoritza a circular pel passeig Marítim i la platja. Els ajuntaments de Vilassar de Mar, Cabrera de Mar i Premià de Mar no ho comparteixen en base a les condicions dels tres municipis i perquè creuen tampoc ajuda</w:t>
      </w:r>
      <w:r w:rsidRPr="00B22219">
        <w:rPr>
          <w:rFonts w:ascii="Verdana" w:hAnsi="Verdana"/>
          <w:sz w:val="20"/>
          <w:szCs w:val="20"/>
          <w:lang w:val="ca-ES"/>
        </w:rPr>
        <w:t xml:space="preserve"> a controlar la propagació de la pandèmia. </w:t>
      </w:r>
      <w:r>
        <w:rPr>
          <w:rFonts w:ascii="Verdana" w:hAnsi="Verdana"/>
          <w:sz w:val="20"/>
          <w:szCs w:val="20"/>
          <w:lang w:val="ca-ES"/>
        </w:rPr>
        <w:t>Tot i no compartir la mesura, i d’acord amb el que disposen tant el govern de l’Estat com el de la Generalitat, a partir de demà els passejos marítims i les platges dels tres municipis estaran oberts per al passeig dels infants menors de 14 anys.</w:t>
      </w:r>
    </w:p>
    <w:p w:rsidR="00186748" w:rsidRPr="00906E2C" w:rsidRDefault="00186748" w:rsidP="00186748">
      <w:pPr>
        <w:spacing w:line="360" w:lineRule="auto"/>
        <w:rPr>
          <w:rFonts w:ascii="Verdana" w:hAnsi="Verdana"/>
          <w:sz w:val="20"/>
          <w:szCs w:val="20"/>
          <w:lang w:val="ca-ES"/>
        </w:rPr>
      </w:pPr>
      <w:r w:rsidRPr="00906E2C">
        <w:rPr>
          <w:rFonts w:ascii="Verdana" w:hAnsi="Verdana"/>
          <w:sz w:val="20"/>
          <w:szCs w:val="20"/>
          <w:lang w:val="ca-ES"/>
        </w:rPr>
        <w:t xml:space="preserve">S’ha de tenir en compte que en aquests espais no es poden garantir les mesures de seguretat establertes </w:t>
      </w:r>
      <w:r>
        <w:rPr>
          <w:rFonts w:ascii="Verdana" w:hAnsi="Verdana"/>
          <w:sz w:val="20"/>
          <w:szCs w:val="20"/>
          <w:lang w:val="ca-ES"/>
        </w:rPr>
        <w:t xml:space="preserve">dels 2 metres de distanciament entre persones i </w:t>
      </w:r>
      <w:r w:rsidRPr="00906E2C">
        <w:rPr>
          <w:rFonts w:ascii="Verdana" w:hAnsi="Verdana"/>
          <w:sz w:val="20"/>
          <w:szCs w:val="20"/>
          <w:lang w:val="ca-ES"/>
        </w:rPr>
        <w:t>que els accessos al</w:t>
      </w:r>
      <w:r>
        <w:rPr>
          <w:rFonts w:ascii="Verdana" w:hAnsi="Verdana"/>
          <w:sz w:val="20"/>
          <w:szCs w:val="20"/>
          <w:lang w:val="ca-ES"/>
        </w:rPr>
        <w:t>s passejos marítims</w:t>
      </w:r>
      <w:r w:rsidRPr="00906E2C">
        <w:rPr>
          <w:rFonts w:ascii="Verdana" w:hAnsi="Verdana"/>
          <w:sz w:val="20"/>
          <w:szCs w:val="20"/>
          <w:lang w:val="ca-ES"/>
        </w:rPr>
        <w:t xml:space="preserve"> es fan a través de passos soterranis que</w:t>
      </w:r>
      <w:r>
        <w:rPr>
          <w:rFonts w:ascii="Verdana" w:hAnsi="Verdana"/>
          <w:sz w:val="20"/>
          <w:szCs w:val="20"/>
          <w:lang w:val="ca-ES"/>
        </w:rPr>
        <w:t xml:space="preserve"> també</w:t>
      </w:r>
      <w:r w:rsidRPr="00906E2C">
        <w:rPr>
          <w:rFonts w:ascii="Verdana" w:hAnsi="Verdana"/>
          <w:sz w:val="20"/>
          <w:szCs w:val="20"/>
          <w:lang w:val="ca-ES"/>
        </w:rPr>
        <w:t xml:space="preserve"> tenen unes dimensions concretes</w:t>
      </w:r>
      <w:r>
        <w:rPr>
          <w:rFonts w:ascii="Verdana" w:hAnsi="Verdana"/>
          <w:sz w:val="20"/>
          <w:szCs w:val="20"/>
          <w:lang w:val="ca-ES"/>
        </w:rPr>
        <w:t xml:space="preserve">. </w:t>
      </w:r>
      <w:r w:rsidRPr="00906E2C">
        <w:rPr>
          <w:rFonts w:ascii="Verdana" w:hAnsi="Verdana"/>
          <w:sz w:val="20"/>
          <w:szCs w:val="20"/>
          <w:lang w:val="ca-ES"/>
        </w:rPr>
        <w:t xml:space="preserve">Per tot això, </w:t>
      </w:r>
      <w:r>
        <w:rPr>
          <w:rFonts w:ascii="Verdana" w:hAnsi="Verdana"/>
          <w:sz w:val="20"/>
          <w:szCs w:val="20"/>
          <w:lang w:val="ca-ES"/>
        </w:rPr>
        <w:t>els tres consistoris apel·len</w:t>
      </w:r>
      <w:r w:rsidRPr="00906E2C">
        <w:rPr>
          <w:rFonts w:ascii="Verdana" w:hAnsi="Verdana"/>
          <w:sz w:val="20"/>
          <w:szCs w:val="20"/>
          <w:lang w:val="ca-ES"/>
        </w:rPr>
        <w:t xml:space="preserve"> a la responsabilitat personal i al bon comportament que els </w:t>
      </w:r>
      <w:r>
        <w:rPr>
          <w:rFonts w:ascii="Verdana" w:hAnsi="Verdana"/>
          <w:sz w:val="20"/>
          <w:szCs w:val="20"/>
          <w:lang w:val="ca-ES"/>
        </w:rPr>
        <w:t xml:space="preserve">seus ciutadans i ciutadanes </w:t>
      </w:r>
      <w:r w:rsidRPr="00906E2C">
        <w:rPr>
          <w:rFonts w:ascii="Verdana" w:hAnsi="Verdana"/>
          <w:sz w:val="20"/>
          <w:szCs w:val="20"/>
          <w:lang w:val="ca-ES"/>
        </w:rPr>
        <w:t>han mostrat dura</w:t>
      </w:r>
      <w:r>
        <w:rPr>
          <w:rFonts w:ascii="Verdana" w:hAnsi="Verdana"/>
          <w:sz w:val="20"/>
          <w:szCs w:val="20"/>
          <w:lang w:val="ca-ES"/>
        </w:rPr>
        <w:t>nt aquestes setmanes i recomanen</w:t>
      </w:r>
      <w:r w:rsidRPr="00906E2C">
        <w:rPr>
          <w:rFonts w:ascii="Verdana" w:hAnsi="Verdana"/>
          <w:sz w:val="20"/>
          <w:szCs w:val="20"/>
          <w:lang w:val="ca-ES"/>
        </w:rPr>
        <w:t xml:space="preserve"> q</w:t>
      </w:r>
      <w:r>
        <w:rPr>
          <w:rFonts w:ascii="Verdana" w:hAnsi="Verdana"/>
          <w:sz w:val="20"/>
          <w:szCs w:val="20"/>
          <w:lang w:val="ca-ES"/>
        </w:rPr>
        <w:t xml:space="preserve">ue durant les sortides amb menors de 14 anys no s’utilitzi </w:t>
      </w:r>
      <w:r w:rsidRPr="00906E2C">
        <w:rPr>
          <w:rFonts w:ascii="Verdana" w:hAnsi="Verdana"/>
          <w:sz w:val="20"/>
          <w:szCs w:val="20"/>
          <w:lang w:val="ca-ES"/>
        </w:rPr>
        <w:t>ni el passeig Marítim ni la platja</w:t>
      </w:r>
      <w:r>
        <w:rPr>
          <w:rFonts w:ascii="Verdana" w:hAnsi="Verdana"/>
          <w:sz w:val="20"/>
          <w:szCs w:val="20"/>
          <w:lang w:val="ca-ES"/>
        </w:rPr>
        <w:t>, que per norma general són espais de gran afluència de persones, atès que en aquests moments seguim en estat d’alarma, prolongat pel govern de l’estat i per tant, en situació de confinament.</w:t>
      </w:r>
    </w:p>
    <w:p w:rsidR="00186748" w:rsidRDefault="00186748" w:rsidP="00186748"/>
    <w:p w:rsidR="00186748" w:rsidRDefault="00186748" w:rsidP="00076DBE">
      <w:pPr>
        <w:spacing w:after="120"/>
        <w:ind w:right="3"/>
        <w:rPr>
          <w:rFonts w:cs="Arial"/>
          <w:bCs/>
        </w:rPr>
      </w:pPr>
    </w:p>
    <w:p w:rsidR="00186748" w:rsidRDefault="00186748" w:rsidP="00076DBE">
      <w:pPr>
        <w:spacing w:after="120"/>
        <w:ind w:right="3"/>
        <w:rPr>
          <w:rFonts w:cs="Arial"/>
          <w:bCs/>
        </w:rPr>
      </w:pPr>
    </w:p>
    <w:p w:rsidR="00186748" w:rsidRPr="005E1D38" w:rsidRDefault="00186748" w:rsidP="00076DBE">
      <w:pPr>
        <w:spacing w:after="120"/>
        <w:ind w:right="3"/>
        <w:rPr>
          <w:rFonts w:cs="Arial"/>
          <w:bCs/>
        </w:rPr>
      </w:pPr>
    </w:p>
    <w:sectPr w:rsidR="00186748" w:rsidRPr="005E1D3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FB" w:rsidRDefault="005D30FB" w:rsidP="0040600E">
      <w:r>
        <w:separator/>
      </w:r>
    </w:p>
  </w:endnote>
  <w:endnote w:type="continuationSeparator" w:id="0">
    <w:p w:rsidR="005D30FB" w:rsidRDefault="005D30FB" w:rsidP="0040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FB" w:rsidRDefault="005D30FB" w:rsidP="0040600E">
      <w:r>
        <w:separator/>
      </w:r>
    </w:p>
  </w:footnote>
  <w:footnote w:type="continuationSeparator" w:id="0">
    <w:p w:rsidR="005D30FB" w:rsidRDefault="005D30FB" w:rsidP="0040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89" w:rsidRPr="00550189" w:rsidRDefault="00550189" w:rsidP="00770BB4">
    <w:pPr>
      <w:rPr>
        <w:bCs/>
      </w:rPr>
    </w:pPr>
  </w:p>
  <w:p w:rsidR="00B360CE" w:rsidRDefault="00B360CE" w:rsidP="00B360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76D"/>
    <w:multiLevelType w:val="hybridMultilevel"/>
    <w:tmpl w:val="2AFA1138"/>
    <w:lvl w:ilvl="0" w:tplc="DCD2DE78">
      <w:numFmt w:val="bullet"/>
      <w:lvlText w:val="-"/>
      <w:lvlJc w:val="left"/>
      <w:pPr>
        <w:ind w:left="2885" w:hanging="320"/>
      </w:pPr>
      <w:rPr>
        <w:rFonts w:ascii="Calibri" w:eastAsia="Calibri" w:hAnsi="Calibri" w:cs="Calibri" w:hint="default"/>
        <w:w w:val="102"/>
        <w:sz w:val="18"/>
        <w:szCs w:val="18"/>
        <w:lang w:val="ca-ES" w:eastAsia="ca-ES" w:bidi="ca-ES"/>
      </w:rPr>
    </w:lvl>
    <w:lvl w:ilvl="1" w:tplc="5E9280BC">
      <w:numFmt w:val="bullet"/>
      <w:lvlText w:val="•"/>
      <w:lvlJc w:val="left"/>
      <w:pPr>
        <w:ind w:left="3782" w:hanging="320"/>
      </w:pPr>
      <w:rPr>
        <w:rFonts w:hint="default"/>
        <w:lang w:val="ca-ES" w:eastAsia="ca-ES" w:bidi="ca-ES"/>
      </w:rPr>
    </w:lvl>
    <w:lvl w:ilvl="2" w:tplc="2FD685C0">
      <w:numFmt w:val="bullet"/>
      <w:lvlText w:val="•"/>
      <w:lvlJc w:val="left"/>
      <w:pPr>
        <w:ind w:left="4685" w:hanging="320"/>
      </w:pPr>
      <w:rPr>
        <w:rFonts w:hint="default"/>
        <w:lang w:val="ca-ES" w:eastAsia="ca-ES" w:bidi="ca-ES"/>
      </w:rPr>
    </w:lvl>
    <w:lvl w:ilvl="3" w:tplc="A97205F2">
      <w:numFmt w:val="bullet"/>
      <w:lvlText w:val="•"/>
      <w:lvlJc w:val="left"/>
      <w:pPr>
        <w:ind w:left="5587" w:hanging="320"/>
      </w:pPr>
      <w:rPr>
        <w:rFonts w:hint="default"/>
        <w:lang w:val="ca-ES" w:eastAsia="ca-ES" w:bidi="ca-ES"/>
      </w:rPr>
    </w:lvl>
    <w:lvl w:ilvl="4" w:tplc="76B476B0">
      <w:numFmt w:val="bullet"/>
      <w:lvlText w:val="•"/>
      <w:lvlJc w:val="left"/>
      <w:pPr>
        <w:ind w:left="6490" w:hanging="320"/>
      </w:pPr>
      <w:rPr>
        <w:rFonts w:hint="default"/>
        <w:lang w:val="ca-ES" w:eastAsia="ca-ES" w:bidi="ca-ES"/>
      </w:rPr>
    </w:lvl>
    <w:lvl w:ilvl="5" w:tplc="A27E5BCC">
      <w:numFmt w:val="bullet"/>
      <w:lvlText w:val="•"/>
      <w:lvlJc w:val="left"/>
      <w:pPr>
        <w:ind w:left="7393" w:hanging="320"/>
      </w:pPr>
      <w:rPr>
        <w:rFonts w:hint="default"/>
        <w:lang w:val="ca-ES" w:eastAsia="ca-ES" w:bidi="ca-ES"/>
      </w:rPr>
    </w:lvl>
    <w:lvl w:ilvl="6" w:tplc="21008260">
      <w:numFmt w:val="bullet"/>
      <w:lvlText w:val="•"/>
      <w:lvlJc w:val="left"/>
      <w:pPr>
        <w:ind w:left="8295" w:hanging="320"/>
      </w:pPr>
      <w:rPr>
        <w:rFonts w:hint="default"/>
        <w:lang w:val="ca-ES" w:eastAsia="ca-ES" w:bidi="ca-ES"/>
      </w:rPr>
    </w:lvl>
    <w:lvl w:ilvl="7" w:tplc="23D064FC">
      <w:numFmt w:val="bullet"/>
      <w:lvlText w:val="•"/>
      <w:lvlJc w:val="left"/>
      <w:pPr>
        <w:ind w:left="9198" w:hanging="320"/>
      </w:pPr>
      <w:rPr>
        <w:rFonts w:hint="default"/>
        <w:lang w:val="ca-ES" w:eastAsia="ca-ES" w:bidi="ca-ES"/>
      </w:rPr>
    </w:lvl>
    <w:lvl w:ilvl="8" w:tplc="9C143F5C">
      <w:numFmt w:val="bullet"/>
      <w:lvlText w:val="•"/>
      <w:lvlJc w:val="left"/>
      <w:pPr>
        <w:ind w:left="10100" w:hanging="32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34"/>
    <w:rsid w:val="000534CD"/>
    <w:rsid w:val="00076DBE"/>
    <w:rsid w:val="000C6104"/>
    <w:rsid w:val="000D112C"/>
    <w:rsid w:val="00136769"/>
    <w:rsid w:val="001757F4"/>
    <w:rsid w:val="00186748"/>
    <w:rsid w:val="001E4E71"/>
    <w:rsid w:val="00270A80"/>
    <w:rsid w:val="002A3D3F"/>
    <w:rsid w:val="00316399"/>
    <w:rsid w:val="0036072D"/>
    <w:rsid w:val="004047DC"/>
    <w:rsid w:val="0040600E"/>
    <w:rsid w:val="00456993"/>
    <w:rsid w:val="004B49A1"/>
    <w:rsid w:val="004E0980"/>
    <w:rsid w:val="004E1B87"/>
    <w:rsid w:val="004E5F60"/>
    <w:rsid w:val="005110CC"/>
    <w:rsid w:val="00520E3B"/>
    <w:rsid w:val="00550189"/>
    <w:rsid w:val="005C12AD"/>
    <w:rsid w:val="005D30FB"/>
    <w:rsid w:val="005D6BA0"/>
    <w:rsid w:val="0061061F"/>
    <w:rsid w:val="00660E4E"/>
    <w:rsid w:val="0066202C"/>
    <w:rsid w:val="00676D64"/>
    <w:rsid w:val="00770BB4"/>
    <w:rsid w:val="00792BF4"/>
    <w:rsid w:val="007945E3"/>
    <w:rsid w:val="008D2834"/>
    <w:rsid w:val="0091362D"/>
    <w:rsid w:val="00986106"/>
    <w:rsid w:val="009A7DE0"/>
    <w:rsid w:val="009F58CD"/>
    <w:rsid w:val="00B360CE"/>
    <w:rsid w:val="00B664BF"/>
    <w:rsid w:val="00B72E01"/>
    <w:rsid w:val="00B874C2"/>
    <w:rsid w:val="00BB6950"/>
    <w:rsid w:val="00BE42BE"/>
    <w:rsid w:val="00D226AD"/>
    <w:rsid w:val="00D23D3A"/>
    <w:rsid w:val="00D75BAF"/>
    <w:rsid w:val="00D91304"/>
    <w:rsid w:val="00DC54A6"/>
    <w:rsid w:val="00DD3D1B"/>
    <w:rsid w:val="00E0586F"/>
    <w:rsid w:val="00E11C5F"/>
    <w:rsid w:val="00FC474B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6461"/>
  <w15:chartTrackingRefBased/>
  <w15:docId w15:val="{E39A898C-CE6F-4C56-B889-0E3E321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4E"/>
    <w:pPr>
      <w:jc w:val="both"/>
    </w:pPr>
    <w:rPr>
      <w:rFonts w:ascii="Arial" w:hAnsi="Arial"/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076DBE"/>
    <w:pPr>
      <w:widowControl w:val="0"/>
      <w:autoSpaceDE w:val="0"/>
      <w:autoSpaceDN w:val="0"/>
      <w:spacing w:before="1"/>
      <w:ind w:left="2223"/>
      <w:jc w:val="left"/>
      <w:outlineLvl w:val="0"/>
    </w:pPr>
    <w:rPr>
      <w:rFonts w:ascii="Verdana" w:eastAsia="Verdana" w:hAnsi="Verdana" w:cs="Verdana"/>
      <w:b/>
      <w:bCs/>
      <w:sz w:val="18"/>
      <w:szCs w:val="18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0600E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06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0600E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76DBE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link w:val="Ttulo1"/>
    <w:uiPriority w:val="9"/>
    <w:rsid w:val="00076DBE"/>
    <w:rPr>
      <w:rFonts w:ascii="Verdana" w:eastAsia="Verdana" w:hAnsi="Verdana" w:cs="Verdana"/>
      <w:b/>
      <w:bCs/>
      <w:sz w:val="18"/>
      <w:szCs w:val="18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76DBE"/>
    <w:pPr>
      <w:widowControl w:val="0"/>
      <w:autoSpaceDE w:val="0"/>
      <w:autoSpaceDN w:val="0"/>
      <w:jc w:val="left"/>
    </w:pPr>
    <w:rPr>
      <w:rFonts w:ascii="Verdana" w:eastAsia="Verdana" w:hAnsi="Verdana" w:cs="Verdana"/>
      <w:sz w:val="18"/>
      <w:szCs w:val="18"/>
      <w:lang w:val="ca-ES" w:eastAsia="ca-ES" w:bidi="ca-ES"/>
    </w:rPr>
  </w:style>
  <w:style w:type="character" w:customStyle="1" w:styleId="TextoindependienteCar">
    <w:name w:val="Texto independiente Car"/>
    <w:link w:val="Textoindependiente"/>
    <w:uiPriority w:val="1"/>
    <w:rsid w:val="00076DBE"/>
    <w:rPr>
      <w:rFonts w:ascii="Verdana" w:eastAsia="Verdana" w:hAnsi="Verdana" w:cs="Verdana"/>
      <w:sz w:val="18"/>
      <w:szCs w:val="18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76DBE"/>
    <w:pPr>
      <w:widowControl w:val="0"/>
      <w:autoSpaceDE w:val="0"/>
      <w:autoSpaceDN w:val="0"/>
      <w:spacing w:before="7"/>
      <w:ind w:left="2885" w:right="1863" w:hanging="331"/>
    </w:pPr>
    <w:rPr>
      <w:rFonts w:ascii="Verdana" w:eastAsia="Verdana" w:hAnsi="Verdana" w:cs="Verdana"/>
      <w:lang w:val="ca-ES" w:eastAsia="ca-ES" w:bidi="ca-ES"/>
    </w:rPr>
  </w:style>
  <w:style w:type="character" w:styleId="Refdecomentario">
    <w:name w:val="annotation reference"/>
    <w:uiPriority w:val="99"/>
    <w:semiHidden/>
    <w:unhideWhenUsed/>
    <w:rsid w:val="00076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DBE"/>
    <w:pPr>
      <w:widowControl w:val="0"/>
      <w:autoSpaceDE w:val="0"/>
      <w:autoSpaceDN w:val="0"/>
      <w:jc w:val="left"/>
    </w:pPr>
    <w:rPr>
      <w:rFonts w:ascii="Verdana" w:eastAsia="Verdana" w:hAnsi="Verdana" w:cs="Verdana"/>
      <w:sz w:val="20"/>
      <w:szCs w:val="20"/>
      <w:lang w:val="ca-ES" w:eastAsia="ca-ES" w:bidi="ca-ES"/>
    </w:rPr>
  </w:style>
  <w:style w:type="character" w:customStyle="1" w:styleId="TextocomentarioCar">
    <w:name w:val="Texto comentario Car"/>
    <w:link w:val="Textocomentario"/>
    <w:uiPriority w:val="99"/>
    <w:semiHidden/>
    <w:rsid w:val="00076DBE"/>
    <w:rPr>
      <w:rFonts w:ascii="Verdana" w:eastAsia="Verdana" w:hAnsi="Verdana" w:cs="Verdana"/>
      <w:lang w:val="ca-ES" w:eastAsia="ca-ES" w:bidi="ca-ES"/>
    </w:rPr>
  </w:style>
  <w:style w:type="table" w:styleId="Tablaconcuadrcula">
    <w:name w:val="Table Grid"/>
    <w:basedOn w:val="Tablanormal"/>
    <w:uiPriority w:val="59"/>
    <w:rsid w:val="0027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opez\Desktop\Coronavirus\Decrets%20i%20Bans\DECRET%20TANCAMENT%20DEIXALL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 TANCAMENT DEIXALLERIA.dot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 (X2018000574)</vt:lpstr>
    </vt:vector>
  </TitlesOfParts>
  <Company>OVH SAS</Company>
  <LinksUpToDate>false</LinksUpToDate>
  <CharactersWithSpaces>1919</CharactersWithSpaces>
  <SharedDoc>false</SharedDoc>
  <HLinks>
    <vt:vector size="6" baseType="variant">
      <vt:variant>
        <vt:i4>786493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https://www.google.es/url?sa=i&amp;url=http%3A%2F%2Fwww.cabrerademar.cat%2Fseu_electronica%2Fimatge-corporativa&amp;psig=AOvVaw2qX7cL5JQ3yierMZVKTSr2&amp;ust=1584792642585000&amp;source=images&amp;cd=vfe&amp;ved=0CAIQjRxqFwoTCICl4OmCqegCFQAAAAAdAAAAABAD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 (X2018000574)</dc:title>
  <dc:subject/>
  <dc:creator>Rafael López Zaguirre</dc:creator>
  <cp:keywords/>
  <cp:lastModifiedBy>Cristina</cp:lastModifiedBy>
  <cp:revision>5</cp:revision>
  <dcterms:created xsi:type="dcterms:W3CDTF">2020-04-25T17:43:00Z</dcterms:created>
  <dcterms:modified xsi:type="dcterms:W3CDTF">2020-04-25T17:49:00Z</dcterms:modified>
</cp:coreProperties>
</file>